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 Owner Defined Value Statement / Conditions of Satisfaction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Allowable/Expected Cost: </w:t>
      </w:r>
      <w:r w:rsidDel="00000000" w:rsidR="00000000" w:rsidRPr="00000000">
        <w:rPr>
          <w:sz w:val="36"/>
          <w:szCs w:val="36"/>
          <w:rtl w:val="0"/>
        </w:rPr>
        <w:t xml:space="preserve"> $495,000,000.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Project Completion on or Before August 31,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Maximizing first cost value is prefered to reducing long term operational cost.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Safety - No lost time incidents.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Total Allowable Area: 1.3M sf.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LEED Platinum required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Exterior: Unitized glass curtainwall and perforated panel tower top.  Public art is anticipated to be added to tower top.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Bridge on level 5 and plaza need to be open when the adjacent transit center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Interior:  Core and shell buildout with public space on level 1 and 5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Vertical Transportation - Provide 34 elevators with high-end cab interiors.  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Demonstrate that an ILPD approach utilizing an IFOA delivery is a viable model for future core and shell projects.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